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3760" w:type="dxa"/>
        <w:jc w:val="center"/>
        <w:shd w:val="clear" w:color="auto" w:fill="auto"/>
        <w:tblLayout w:type="autofit"/>
        <w:tblCellMar>
          <w:top w:w="0" w:type="dxa"/>
          <w:left w:w="0" w:type="dxa"/>
          <w:bottom w:w="0" w:type="dxa"/>
          <w:right w:w="0" w:type="dxa"/>
        </w:tblCellMar>
      </w:tblPr>
      <w:tblGrid>
        <w:gridCol w:w="647"/>
        <w:gridCol w:w="1846"/>
        <w:gridCol w:w="2030"/>
        <w:gridCol w:w="9237"/>
      </w:tblGrid>
      <w:tr>
        <w:tblPrEx>
          <w:tblCellMar>
            <w:top w:w="0" w:type="dxa"/>
            <w:left w:w="0" w:type="dxa"/>
            <w:bottom w:w="0" w:type="dxa"/>
            <w:right w:w="0" w:type="dxa"/>
          </w:tblCellMar>
        </w:tblPrEx>
        <w:trPr>
          <w:trHeight w:val="1002" w:hRule="atLeast"/>
          <w:jc w:val="center"/>
        </w:trPr>
        <w:tc>
          <w:tcPr>
            <w:tcW w:w="13760" w:type="dxa"/>
            <w:gridSpan w:val="4"/>
            <w:shd w:val="clear" w:color="auto" w:fill="auto"/>
            <w:vAlign w:val="center"/>
          </w:tcPr>
          <w:p>
            <w:pPr>
              <w:keepNext w:val="0"/>
              <w:keepLines w:val="0"/>
              <w:widowControl/>
              <w:suppressLineNumbers w:val="0"/>
              <w:spacing w:before="0" w:beforeAutospacing="0" w:after="0" w:afterAutospacing="0"/>
              <w:ind w:left="0" w:right="0" w:firstLine="0"/>
              <w:jc w:val="cente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pPr>
            <w:bookmarkStart w:id="0" w:name="_GoBack"/>
            <w:bookmarkEnd w:id="0"/>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渭南市林业局轻微违法行为免罚清单</w:t>
            </w:r>
          </w:p>
          <w:p>
            <w:pPr>
              <w:keepNext w:val="0"/>
              <w:keepLines w:val="0"/>
              <w:widowControl/>
              <w:suppressLineNumbers w:val="0"/>
              <w:spacing w:before="0" w:beforeAutospacing="0" w:after="0" w:afterAutospacing="0"/>
              <w:ind w:left="0" w:right="0" w:firstLine="0"/>
              <w:jc w:val="both"/>
              <w:rPr>
                <w:rFonts w:hint="default" w:ascii="方正小标宋简体" w:hAnsi="方正小标宋简体" w:eastAsia="方正小标宋简体" w:cs="方正小标宋简体"/>
                <w:i w:val="0"/>
                <w:iCs w:val="0"/>
                <w:caps w:val="0"/>
                <w:color w:val="000000"/>
                <w:spacing w:val="0"/>
                <w:kern w:val="0"/>
                <w:sz w:val="18"/>
                <w:szCs w:val="18"/>
                <w:lang w:val="en-US" w:eastAsia="zh-CN" w:bidi="ar"/>
              </w:rPr>
            </w:pPr>
            <w:r>
              <w:rPr>
                <w:rFonts w:hint="eastAsia" w:ascii="楷体_GB2312" w:hAnsi="楷体_GB2312" w:eastAsia="楷体_GB2312" w:cs="楷体_GB2312"/>
                <w:i w:val="0"/>
                <w:iCs w:val="0"/>
                <w:caps w:val="0"/>
                <w:color w:val="000000"/>
                <w:spacing w:val="0"/>
                <w:kern w:val="0"/>
                <w:sz w:val="24"/>
                <w:szCs w:val="24"/>
                <w:lang w:val="en-US" w:eastAsia="zh-CN" w:bidi="ar"/>
              </w:rPr>
              <w:t>单位名称：渭南市林业局                                  时间：2023年10月8日</w:t>
            </w:r>
          </w:p>
        </w:tc>
      </w:tr>
      <w:tr>
        <w:tblPrEx>
          <w:shd w:val="clear" w:color="auto" w:fill="auto"/>
          <w:tblCellMar>
            <w:top w:w="0" w:type="dxa"/>
            <w:left w:w="0" w:type="dxa"/>
            <w:bottom w:w="0" w:type="dxa"/>
            <w:right w:w="0" w:type="dxa"/>
          </w:tblCellMar>
        </w:tblPrEx>
        <w:trPr>
          <w:trHeight w:val="668" w:hRule="atLeast"/>
          <w:jc w:val="center"/>
        </w:trPr>
        <w:tc>
          <w:tcPr>
            <w:tcW w:w="0" w:type="auto"/>
            <w:gridSpan w:val="4"/>
            <w:shd w:val="clear" w:color="auto" w:fill="auto"/>
            <w:vAlign w:val="center"/>
          </w:tcPr>
          <w:p>
            <w:pPr>
              <w:keepNext w:val="0"/>
              <w:keepLines w:val="0"/>
              <w:widowControl/>
              <w:suppressLineNumbers w:val="0"/>
              <w:spacing w:before="0" w:beforeAutospacing="0" w:after="0" w:afterAutospacing="0"/>
              <w:ind w:left="0" w:right="0" w:firstLine="0"/>
              <w:jc w:val="center"/>
              <w:rPr>
                <w:rFonts w:ascii="黑体" w:hAnsi="宋体" w:eastAsia="黑体" w:cs="黑体"/>
                <w:i w:val="0"/>
                <w:iCs w:val="0"/>
                <w:caps w:val="0"/>
                <w:color w:val="000000"/>
                <w:spacing w:val="0"/>
                <w:sz w:val="32"/>
                <w:szCs w:val="32"/>
              </w:rPr>
            </w:pPr>
            <w:r>
              <w:rPr>
                <w:rFonts w:hint="eastAsia" w:ascii="黑体" w:hAnsi="宋体" w:eastAsia="黑体" w:cs="黑体"/>
                <w:i w:val="0"/>
                <w:iCs w:val="0"/>
                <w:caps w:val="0"/>
                <w:color w:val="000000"/>
                <w:spacing w:val="0"/>
                <w:kern w:val="0"/>
                <w:sz w:val="32"/>
                <w:szCs w:val="32"/>
                <w:lang w:val="en-US" w:eastAsia="zh-CN" w:bidi="ar"/>
              </w:rPr>
              <w:t>下列违法行为，属初次违法且危害后果轻微并及时改正，没有造成危害后果的，不予行政处罚</w:t>
            </w:r>
          </w:p>
        </w:tc>
      </w:tr>
      <w:tr>
        <w:tblPrEx>
          <w:shd w:val="clear" w:color="auto" w:fill="auto"/>
        </w:tblPrEx>
        <w:trPr>
          <w:trHeight w:val="679"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ascii="仿宋_GB2312" w:hAnsi="微软雅黑" w:eastAsia="仿宋_GB2312" w:cs="仿宋_GB2312"/>
                <w:b/>
                <w:bCs/>
                <w:i w:val="0"/>
                <w:iCs w:val="0"/>
                <w:caps w:val="0"/>
                <w:color w:val="000000"/>
                <w:spacing w:val="0"/>
                <w:sz w:val="28"/>
                <w:szCs w:val="28"/>
              </w:rPr>
            </w:pPr>
            <w:r>
              <w:rPr>
                <w:rFonts w:hint="default" w:ascii="仿宋_GB2312" w:hAnsi="微软雅黑" w:eastAsia="仿宋_GB2312" w:cs="仿宋_GB2312"/>
                <w:b/>
                <w:bCs/>
                <w:i w:val="0"/>
                <w:iCs w:val="0"/>
                <w:caps w:val="0"/>
                <w:color w:val="000000"/>
                <w:spacing w:val="0"/>
                <w:kern w:val="0"/>
                <w:sz w:val="28"/>
                <w:szCs w:val="28"/>
                <w:lang w:val="en-US" w:eastAsia="zh-CN" w:bidi="ar"/>
              </w:rPr>
              <w:t>序号</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default" w:ascii="仿宋_GB2312" w:hAnsi="微软雅黑" w:eastAsia="仿宋_GB2312" w:cs="仿宋_GB2312"/>
                <w:b/>
                <w:bCs/>
                <w:i w:val="0"/>
                <w:iCs w:val="0"/>
                <w:caps w:val="0"/>
                <w:color w:val="000000"/>
                <w:spacing w:val="0"/>
                <w:sz w:val="28"/>
                <w:szCs w:val="28"/>
              </w:rPr>
            </w:pPr>
            <w:r>
              <w:rPr>
                <w:rFonts w:hint="default" w:ascii="仿宋_GB2312" w:hAnsi="微软雅黑" w:eastAsia="仿宋_GB2312" w:cs="仿宋_GB2312"/>
                <w:b/>
                <w:bCs/>
                <w:i w:val="0"/>
                <w:iCs w:val="0"/>
                <w:caps w:val="0"/>
                <w:color w:val="000000"/>
                <w:spacing w:val="0"/>
                <w:kern w:val="0"/>
                <w:sz w:val="28"/>
                <w:szCs w:val="28"/>
                <w:lang w:val="en-US" w:eastAsia="zh-CN" w:bidi="ar"/>
              </w:rPr>
              <w:t>违法行为</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default" w:ascii="仿宋_GB2312" w:hAnsi="微软雅黑" w:eastAsia="仿宋_GB2312" w:cs="仿宋_GB2312"/>
                <w:b/>
                <w:bCs/>
                <w:i w:val="0"/>
                <w:iCs w:val="0"/>
                <w:caps w:val="0"/>
                <w:color w:val="000000"/>
                <w:spacing w:val="0"/>
                <w:sz w:val="28"/>
                <w:szCs w:val="28"/>
              </w:rPr>
            </w:pPr>
            <w:r>
              <w:rPr>
                <w:rFonts w:hint="default" w:ascii="仿宋_GB2312" w:hAnsi="微软雅黑" w:eastAsia="仿宋_GB2312" w:cs="仿宋_GB2312"/>
                <w:b/>
                <w:bCs/>
                <w:i w:val="0"/>
                <w:iCs w:val="0"/>
                <w:caps w:val="0"/>
                <w:color w:val="000000"/>
                <w:spacing w:val="0"/>
                <w:kern w:val="0"/>
                <w:sz w:val="28"/>
                <w:szCs w:val="28"/>
                <w:lang w:val="en-US" w:eastAsia="zh-CN" w:bidi="ar"/>
              </w:rPr>
              <w:t>适用条件</w:t>
            </w:r>
          </w:p>
        </w:tc>
        <w:tc>
          <w:tcPr>
            <w:tcW w:w="9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firstLine="0"/>
              <w:jc w:val="center"/>
              <w:rPr>
                <w:rFonts w:hint="default" w:ascii="仿宋_GB2312" w:hAnsi="微软雅黑" w:eastAsia="仿宋_GB2312" w:cs="仿宋_GB2312"/>
                <w:b/>
                <w:bCs/>
                <w:i w:val="0"/>
                <w:iCs w:val="0"/>
                <w:caps w:val="0"/>
                <w:color w:val="000000"/>
                <w:spacing w:val="0"/>
                <w:sz w:val="28"/>
                <w:szCs w:val="28"/>
              </w:rPr>
            </w:pPr>
            <w:r>
              <w:rPr>
                <w:rFonts w:hint="default" w:ascii="仿宋_GB2312" w:hAnsi="微软雅黑" w:eastAsia="仿宋_GB2312" w:cs="仿宋_GB2312"/>
                <w:b/>
                <w:bCs/>
                <w:i w:val="0"/>
                <w:iCs w:val="0"/>
                <w:caps w:val="0"/>
                <w:color w:val="000000"/>
                <w:spacing w:val="0"/>
                <w:kern w:val="0"/>
                <w:sz w:val="28"/>
                <w:szCs w:val="28"/>
                <w:lang w:val="en-US" w:eastAsia="zh-CN" w:bidi="ar"/>
              </w:rPr>
              <w:t>法定依据</w:t>
            </w:r>
          </w:p>
        </w:tc>
      </w:tr>
      <w:tr>
        <w:tblPrEx>
          <w:shd w:val="clear" w:color="auto" w:fill="auto"/>
          <w:tblCellMar>
            <w:top w:w="0" w:type="dxa"/>
            <w:left w:w="0" w:type="dxa"/>
            <w:bottom w:w="0" w:type="dxa"/>
            <w:right w:w="0" w:type="dxa"/>
          </w:tblCellMar>
        </w:tblPrEx>
        <w:trPr>
          <w:trHeight w:val="2518"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仿宋_GB2312" w:hAnsi="微软雅黑" w:eastAsia="仿宋_GB2312" w:cs="仿宋_GB2312"/>
                <w:i w:val="0"/>
                <w:iCs w:val="0"/>
                <w:caps w:val="0"/>
                <w:color w:val="000000"/>
                <w:spacing w:val="0"/>
                <w:sz w:val="24"/>
                <w:szCs w:val="24"/>
                <w:lang w:val="en-US" w:eastAsia="zh-CN"/>
              </w:rPr>
            </w:pPr>
            <w:r>
              <w:rPr>
                <w:rFonts w:hint="eastAsia" w:ascii="仿宋_GB2312" w:hAnsi="微软雅黑" w:eastAsia="仿宋_GB2312" w:cs="仿宋_GB2312"/>
                <w:i w:val="0"/>
                <w:iCs w:val="0"/>
                <w:caps w:val="0"/>
                <w:color w:val="000000"/>
                <w:spacing w:val="0"/>
                <w:sz w:val="24"/>
                <w:szCs w:val="24"/>
                <w:lang w:val="en-US" w:eastAsia="zh-CN"/>
              </w:rPr>
              <w:t>1</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仿宋_GB2312" w:hAnsi="微软雅黑" w:eastAsia="仿宋_GB2312" w:cs="仿宋_GB2312"/>
                <w:i w:val="0"/>
                <w:iCs w:val="0"/>
                <w:caps w:val="0"/>
                <w:color w:val="000000"/>
                <w:spacing w:val="0"/>
                <w:sz w:val="24"/>
                <w:szCs w:val="24"/>
                <w:lang w:val="en-US" w:eastAsia="zh-CN"/>
              </w:rPr>
            </w:pPr>
            <w:r>
              <w:rPr>
                <w:rFonts w:hint="default" w:ascii="仿宋_GB2312" w:hAnsi="微软雅黑" w:eastAsia="仿宋_GB2312" w:cs="仿宋_GB2312"/>
                <w:i w:val="0"/>
                <w:iCs w:val="0"/>
                <w:caps w:val="0"/>
                <w:color w:val="000000"/>
                <w:spacing w:val="0"/>
                <w:sz w:val="24"/>
                <w:szCs w:val="24"/>
                <w:lang w:val="en-US" w:eastAsia="zh-CN"/>
              </w:rPr>
              <w:t>未经批准进入自然保护区或者在自然保护区内不服从管理机构管理的</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val="en-US" w:eastAsia="zh-CN"/>
              </w:rPr>
            </w:pPr>
            <w:r>
              <w:rPr>
                <w:rFonts w:hint="eastAsia" w:ascii="仿宋_GB2312" w:hAnsi="微软雅黑" w:eastAsia="仿宋_GB2312" w:cs="仿宋_GB2312"/>
                <w:i w:val="0"/>
                <w:iCs w:val="0"/>
                <w:caps w:val="0"/>
                <w:color w:val="000000"/>
                <w:spacing w:val="0"/>
                <w:sz w:val="24"/>
                <w:szCs w:val="24"/>
                <w:lang w:val="en-US"/>
              </w:rPr>
              <w:t>1.</w:t>
            </w:r>
            <w:r>
              <w:rPr>
                <w:rFonts w:hint="eastAsia" w:ascii="仿宋_GB2312" w:hAnsi="微软雅黑" w:eastAsia="仿宋_GB2312" w:cs="仿宋_GB2312"/>
                <w:i w:val="0"/>
                <w:iCs w:val="0"/>
                <w:caps w:val="0"/>
                <w:color w:val="000000"/>
                <w:spacing w:val="0"/>
                <w:sz w:val="24"/>
                <w:szCs w:val="24"/>
                <w:lang w:val="en-US" w:eastAsia="zh-CN"/>
              </w:rPr>
              <w:t>初次违法且</w:t>
            </w:r>
            <w:r>
              <w:rPr>
                <w:rFonts w:hint="eastAsia" w:ascii="仿宋_GB2312" w:hAnsi="微软雅黑" w:eastAsia="仿宋_GB2312" w:cs="仿宋_GB2312"/>
                <w:i w:val="0"/>
                <w:iCs w:val="0"/>
                <w:caps w:val="0"/>
                <w:color w:val="000000"/>
                <w:spacing w:val="0"/>
                <w:sz w:val="24"/>
                <w:szCs w:val="24"/>
                <w:lang w:val="en-US"/>
              </w:rPr>
              <w:t>没有造成危害后果</w:t>
            </w:r>
            <w:r>
              <w:rPr>
                <w:rFonts w:hint="eastAsia" w:ascii="仿宋_GB2312" w:hAnsi="微软雅黑" w:eastAsia="仿宋_GB2312" w:cs="仿宋_GB2312"/>
                <w:i w:val="0"/>
                <w:iCs w:val="0"/>
                <w:caps w:val="0"/>
                <w:color w:val="000000"/>
                <w:spacing w:val="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val="en-US"/>
              </w:rPr>
            </w:pPr>
            <w:r>
              <w:rPr>
                <w:rFonts w:hint="eastAsia" w:ascii="仿宋_GB2312" w:hAnsi="微软雅黑" w:eastAsia="仿宋_GB2312" w:cs="仿宋_GB2312"/>
                <w:i w:val="0"/>
                <w:iCs w:val="0"/>
                <w:caps w:val="0"/>
                <w:color w:val="000000"/>
                <w:spacing w:val="0"/>
                <w:sz w:val="24"/>
                <w:szCs w:val="24"/>
                <w:lang w:val="en-US" w:eastAsia="zh-CN"/>
              </w:rPr>
              <w:t>2.</w:t>
            </w:r>
            <w:r>
              <w:rPr>
                <w:rFonts w:hint="eastAsia" w:ascii="仿宋_GB2312" w:hAnsi="微软雅黑" w:eastAsia="仿宋_GB2312" w:cs="仿宋_GB2312"/>
                <w:i w:val="0"/>
                <w:iCs w:val="0"/>
                <w:caps w:val="0"/>
                <w:color w:val="000000"/>
                <w:spacing w:val="0"/>
                <w:sz w:val="24"/>
                <w:szCs w:val="24"/>
                <w:lang w:val="en-US"/>
              </w:rPr>
              <w:t>及时改正，</w:t>
            </w:r>
            <w:r>
              <w:rPr>
                <w:rFonts w:hint="eastAsia" w:ascii="仿宋_GB2312" w:hAnsi="微软雅黑" w:eastAsia="仿宋_GB2312" w:cs="仿宋_GB2312"/>
                <w:i w:val="0"/>
                <w:iCs w:val="0"/>
                <w:caps w:val="0"/>
                <w:color w:val="000000"/>
                <w:spacing w:val="0"/>
                <w:sz w:val="24"/>
                <w:szCs w:val="24"/>
                <w:lang w:val="en-US" w:eastAsia="zh-CN"/>
              </w:rPr>
              <w:t>主动服从自然保护区管理机构管理的</w:t>
            </w:r>
            <w:r>
              <w:rPr>
                <w:rFonts w:hint="eastAsia" w:ascii="仿宋_GB2312" w:hAnsi="微软雅黑" w:eastAsia="仿宋_GB2312" w:cs="仿宋_GB2312"/>
                <w:i w:val="0"/>
                <w:iCs w:val="0"/>
                <w:caps w:val="0"/>
                <w:color w:val="000000"/>
                <w:spacing w:val="0"/>
                <w:sz w:val="24"/>
                <w:szCs w:val="24"/>
                <w:lang w:val="en-US"/>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val="en-US" w:eastAsia="zh-CN"/>
              </w:rPr>
            </w:pPr>
          </w:p>
        </w:tc>
        <w:tc>
          <w:tcPr>
            <w:tcW w:w="9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lang w:eastAsia="zh-CN"/>
              </w:rPr>
              <w:t>《中华人民共和国自然保护区条例》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rPr>
              <w:t>第三十四条</w:t>
            </w:r>
            <w:r>
              <w:rPr>
                <w:rFonts w:hint="eastAsia" w:ascii="仿宋_GB2312" w:hAnsi="微软雅黑" w:eastAsia="仿宋_GB2312" w:cs="仿宋_GB2312"/>
                <w:i w:val="0"/>
                <w:iCs w:val="0"/>
                <w:caps w:val="0"/>
                <w:color w:val="000000"/>
                <w:spacing w:val="0"/>
                <w:sz w:val="24"/>
                <w:szCs w:val="24"/>
                <w:lang w:eastAsia="zh-CN"/>
              </w:rPr>
              <w:t>第二项</w:t>
            </w:r>
            <w:r>
              <w:rPr>
                <w:rFonts w:hint="eastAsia" w:ascii="仿宋_GB2312" w:hAnsi="微软雅黑" w:eastAsia="仿宋_GB2312" w:cs="仿宋_GB2312"/>
                <w:i w:val="0"/>
                <w:iCs w:val="0"/>
                <w:caps w:val="0"/>
                <w:color w:val="000000"/>
                <w:spacing w:val="0"/>
                <w:sz w:val="24"/>
                <w:szCs w:val="24"/>
                <w:lang w:val="en-US" w:eastAsia="zh-CN"/>
              </w:rPr>
              <w:t>:</w:t>
            </w:r>
            <w:r>
              <w:rPr>
                <w:rFonts w:hint="eastAsia" w:ascii="仿宋_GB2312" w:hAnsi="微软雅黑" w:eastAsia="仿宋_GB2312" w:cs="仿宋_GB2312"/>
                <w:i w:val="0"/>
                <w:iCs w:val="0"/>
                <w:caps w:val="0"/>
                <w:color w:val="000000"/>
                <w:spacing w:val="0"/>
                <w:sz w:val="24"/>
                <w:szCs w:val="24"/>
              </w:rPr>
              <w:t>违反本条例规定，有下列行为之一的单位和个人，由自然保护区管理机构责令其改正，并可以根据不同情节处以100元以上5000元以下的罚款：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rPr>
            </w:pPr>
            <w:r>
              <w:rPr>
                <w:rFonts w:hint="eastAsia" w:ascii="仿宋_GB2312" w:hAnsi="微软雅黑" w:eastAsia="仿宋_GB2312" w:cs="仿宋_GB2312"/>
                <w:i w:val="0"/>
                <w:iCs w:val="0"/>
                <w:caps w:val="0"/>
                <w:color w:val="000000"/>
                <w:spacing w:val="0"/>
                <w:sz w:val="24"/>
                <w:szCs w:val="24"/>
              </w:rPr>
              <w:t>(二)未经批准进入自然保护区或者在自然保护区内不服从管理机构管理的；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eastAsia="zh-CN"/>
              </w:rPr>
            </w:pPr>
            <w:r>
              <w:rPr>
                <w:rFonts w:hint="eastAsia" w:ascii="仿宋_GB2312" w:hAnsi="微软雅黑" w:eastAsia="仿宋_GB2312" w:cs="仿宋_GB2312"/>
                <w:i w:val="0"/>
                <w:iCs w:val="0"/>
                <w:caps w:val="0"/>
                <w:color w:val="000000"/>
                <w:spacing w:val="0"/>
                <w:sz w:val="24"/>
                <w:szCs w:val="24"/>
                <w:lang w:eastAsia="zh-CN"/>
              </w:rPr>
              <w:t>《中华人民共和国行政处罚法》（2021年7月15日施行）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val="en-US" w:eastAsia="zh-CN"/>
              </w:rPr>
            </w:pPr>
            <w:r>
              <w:rPr>
                <w:rFonts w:hint="eastAsia" w:ascii="仿宋_GB2312" w:hAnsi="微软雅黑" w:eastAsia="仿宋_GB2312" w:cs="仿宋_GB2312"/>
                <w:i w:val="0"/>
                <w:iCs w:val="0"/>
                <w:caps w:val="0"/>
                <w:color w:val="000000"/>
                <w:spacing w:val="0"/>
                <w:sz w:val="24"/>
                <w:szCs w:val="24"/>
                <w:lang w:eastAsia="zh-CN"/>
              </w:rPr>
              <w:t>第三十三条第一款：违法行为轻微并及时改正，没有造成危害后果的，不予行政处罚。初次违法且危害后果轻微并及时改正的，可以不予行政处罚。</w:t>
            </w:r>
          </w:p>
        </w:tc>
      </w:tr>
      <w:tr>
        <w:tblPrEx>
          <w:shd w:val="clear" w:color="auto" w:fill="auto"/>
        </w:tblPrEx>
        <w:trPr>
          <w:trHeight w:val="3029" w:hRule="atLeast"/>
          <w:jc w:val="center"/>
        </w:trPr>
        <w:tc>
          <w:tcPr>
            <w:tcW w:w="6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仿宋_GB2312" w:hAnsi="微软雅黑" w:eastAsia="仿宋_GB2312" w:cs="仿宋_GB2312"/>
                <w:i w:val="0"/>
                <w:iCs w:val="0"/>
                <w:caps w:val="0"/>
                <w:color w:val="000000"/>
                <w:spacing w:val="0"/>
                <w:sz w:val="24"/>
                <w:szCs w:val="24"/>
                <w:lang w:val="en-US" w:eastAsia="zh-CN"/>
              </w:rPr>
            </w:pPr>
            <w:r>
              <w:rPr>
                <w:rFonts w:hint="eastAsia" w:ascii="仿宋_GB2312" w:hAnsi="微软雅黑" w:eastAsia="仿宋_GB2312" w:cs="仿宋_GB2312"/>
                <w:i w:val="0"/>
                <w:iCs w:val="0"/>
                <w:caps w:val="0"/>
                <w:color w:val="000000"/>
                <w:spacing w:val="0"/>
                <w:sz w:val="24"/>
                <w:szCs w:val="24"/>
                <w:lang w:val="en-US" w:eastAsia="zh-CN"/>
              </w:rPr>
              <w:t>2</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仿宋_GB2312" w:hAnsi="微软雅黑" w:eastAsia="仿宋_GB2312" w:cs="仿宋_GB2312"/>
                <w:i w:val="0"/>
                <w:iCs w:val="0"/>
                <w:caps w:val="0"/>
                <w:color w:val="000000"/>
                <w:spacing w:val="0"/>
                <w:sz w:val="24"/>
                <w:szCs w:val="24"/>
                <w:lang w:val="en-US"/>
              </w:rPr>
            </w:pPr>
            <w:r>
              <w:rPr>
                <w:rFonts w:hint="default" w:ascii="仿宋_GB2312" w:hAnsi="微软雅黑" w:eastAsia="仿宋_GB2312" w:cs="仿宋_GB2312"/>
                <w:i w:val="0"/>
                <w:iCs w:val="0"/>
                <w:caps w:val="0"/>
                <w:color w:val="000000"/>
                <w:spacing w:val="0"/>
                <w:sz w:val="24"/>
                <w:szCs w:val="24"/>
                <w:lang w:val="en-US"/>
              </w:rPr>
              <w:t>对</w:t>
            </w:r>
            <w:r>
              <w:rPr>
                <w:rFonts w:hint="eastAsia" w:ascii="仿宋_GB2312" w:hAnsi="微软雅黑" w:eastAsia="仿宋_GB2312" w:cs="仿宋_GB2312"/>
                <w:i w:val="0"/>
                <w:iCs w:val="0"/>
                <w:caps w:val="0"/>
                <w:color w:val="000000"/>
                <w:spacing w:val="0"/>
                <w:sz w:val="24"/>
                <w:szCs w:val="24"/>
                <w:lang w:val="en-US" w:eastAsia="zh-CN"/>
              </w:rPr>
              <w:t>在</w:t>
            </w:r>
            <w:r>
              <w:rPr>
                <w:rFonts w:hint="default" w:ascii="仿宋_GB2312" w:hAnsi="微软雅黑" w:eastAsia="仿宋_GB2312" w:cs="仿宋_GB2312"/>
                <w:i w:val="0"/>
                <w:iCs w:val="0"/>
                <w:caps w:val="0"/>
                <w:color w:val="000000"/>
                <w:spacing w:val="0"/>
                <w:sz w:val="24"/>
                <w:szCs w:val="24"/>
                <w:lang w:val="en-US"/>
              </w:rPr>
              <w:t>自然保护区</w:t>
            </w:r>
            <w:r>
              <w:rPr>
                <w:rFonts w:hint="eastAsia" w:ascii="仿宋_GB2312" w:hAnsi="微软雅黑" w:eastAsia="仿宋_GB2312" w:cs="仿宋_GB2312"/>
                <w:i w:val="0"/>
                <w:iCs w:val="0"/>
                <w:caps w:val="0"/>
                <w:color w:val="000000"/>
                <w:spacing w:val="0"/>
                <w:sz w:val="24"/>
                <w:szCs w:val="24"/>
                <w:lang w:val="en-US" w:eastAsia="zh-CN"/>
              </w:rPr>
              <w:t>内违规放牧</w:t>
            </w:r>
            <w:r>
              <w:rPr>
                <w:rFonts w:hint="default" w:ascii="仿宋_GB2312" w:hAnsi="微软雅黑" w:eastAsia="仿宋_GB2312" w:cs="仿宋_GB2312"/>
                <w:i w:val="0"/>
                <w:iCs w:val="0"/>
                <w:caps w:val="0"/>
                <w:color w:val="000000"/>
                <w:spacing w:val="0"/>
                <w:sz w:val="24"/>
                <w:szCs w:val="24"/>
                <w:lang w:val="en-US"/>
              </w:rPr>
              <w:t>的处罚</w:t>
            </w:r>
          </w:p>
        </w:tc>
        <w:tc>
          <w:tcPr>
            <w:tcW w:w="2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val="en-US" w:eastAsia="zh-CN"/>
              </w:rPr>
            </w:pPr>
            <w:r>
              <w:rPr>
                <w:rFonts w:hint="eastAsia" w:ascii="仿宋_GB2312" w:hAnsi="微软雅黑" w:eastAsia="仿宋_GB2312" w:cs="仿宋_GB2312"/>
                <w:i w:val="0"/>
                <w:iCs w:val="0"/>
                <w:caps w:val="0"/>
                <w:color w:val="000000"/>
                <w:spacing w:val="0"/>
                <w:sz w:val="24"/>
                <w:szCs w:val="24"/>
                <w:lang w:val="en-US"/>
              </w:rPr>
              <w:t>1.</w:t>
            </w:r>
            <w:r>
              <w:rPr>
                <w:rFonts w:hint="eastAsia" w:ascii="仿宋_GB2312" w:hAnsi="微软雅黑" w:eastAsia="仿宋_GB2312" w:cs="仿宋_GB2312"/>
                <w:i w:val="0"/>
                <w:iCs w:val="0"/>
                <w:caps w:val="0"/>
                <w:color w:val="000000"/>
                <w:spacing w:val="0"/>
                <w:sz w:val="24"/>
                <w:szCs w:val="24"/>
                <w:lang w:val="en-US" w:eastAsia="zh-CN"/>
              </w:rPr>
              <w:t>初次违法且</w:t>
            </w:r>
            <w:r>
              <w:rPr>
                <w:rFonts w:hint="eastAsia" w:ascii="仿宋_GB2312" w:hAnsi="微软雅黑" w:eastAsia="仿宋_GB2312" w:cs="仿宋_GB2312"/>
                <w:i w:val="0"/>
                <w:iCs w:val="0"/>
                <w:caps w:val="0"/>
                <w:color w:val="000000"/>
                <w:spacing w:val="0"/>
                <w:sz w:val="24"/>
                <w:szCs w:val="24"/>
                <w:lang w:val="en-US"/>
              </w:rPr>
              <w:t>没有造成危害后果</w:t>
            </w:r>
            <w:r>
              <w:rPr>
                <w:rFonts w:hint="eastAsia" w:ascii="仿宋_GB2312" w:hAnsi="微软雅黑" w:eastAsia="仿宋_GB2312" w:cs="仿宋_GB2312"/>
                <w:i w:val="0"/>
                <w:iCs w:val="0"/>
                <w:caps w:val="0"/>
                <w:color w:val="000000"/>
                <w:spacing w:val="0"/>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val="en-US"/>
              </w:rPr>
            </w:pPr>
            <w:r>
              <w:rPr>
                <w:rFonts w:hint="eastAsia" w:ascii="仿宋_GB2312" w:hAnsi="微软雅黑" w:eastAsia="仿宋_GB2312" w:cs="仿宋_GB2312"/>
                <w:i w:val="0"/>
                <w:iCs w:val="0"/>
                <w:caps w:val="0"/>
                <w:color w:val="000000"/>
                <w:spacing w:val="0"/>
                <w:sz w:val="24"/>
                <w:szCs w:val="24"/>
                <w:lang w:val="en-US" w:eastAsia="zh-CN"/>
              </w:rPr>
              <w:t>2.</w:t>
            </w:r>
            <w:r>
              <w:rPr>
                <w:rFonts w:hint="eastAsia" w:ascii="仿宋_GB2312" w:hAnsi="微软雅黑" w:eastAsia="仿宋_GB2312" w:cs="仿宋_GB2312"/>
                <w:i w:val="0"/>
                <w:iCs w:val="0"/>
                <w:caps w:val="0"/>
                <w:color w:val="000000"/>
                <w:spacing w:val="0"/>
                <w:sz w:val="24"/>
                <w:szCs w:val="24"/>
                <w:lang w:val="en-US"/>
              </w:rPr>
              <w:t>及时改正，</w:t>
            </w:r>
            <w:r>
              <w:rPr>
                <w:rFonts w:hint="eastAsia" w:ascii="仿宋_GB2312" w:hAnsi="微软雅黑" w:eastAsia="仿宋_GB2312" w:cs="仿宋_GB2312"/>
                <w:i w:val="0"/>
                <w:iCs w:val="0"/>
                <w:caps w:val="0"/>
                <w:color w:val="000000"/>
                <w:spacing w:val="0"/>
                <w:sz w:val="24"/>
                <w:szCs w:val="24"/>
                <w:lang w:val="en-US" w:eastAsia="zh-CN"/>
              </w:rPr>
              <w:t>主动恢复原状或者采取其他补救措施的。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val="en-US" w:eastAsia="zh-CN"/>
              </w:rPr>
            </w:pPr>
          </w:p>
        </w:tc>
        <w:tc>
          <w:tcPr>
            <w:tcW w:w="9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val="en-US"/>
              </w:rPr>
            </w:pPr>
            <w:r>
              <w:rPr>
                <w:rFonts w:hint="eastAsia" w:ascii="仿宋_GB2312" w:hAnsi="微软雅黑" w:eastAsia="仿宋_GB2312" w:cs="仿宋_GB2312"/>
                <w:i w:val="0"/>
                <w:iCs w:val="0"/>
                <w:caps w:val="0"/>
                <w:color w:val="000000"/>
                <w:spacing w:val="0"/>
                <w:sz w:val="24"/>
                <w:szCs w:val="24"/>
                <w:lang w:val="en-US"/>
              </w:rPr>
              <w:t>《中华人民共和国自然保护区条例》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val="en-US"/>
              </w:rPr>
            </w:pPr>
            <w:r>
              <w:rPr>
                <w:rFonts w:hint="eastAsia" w:ascii="仿宋_GB2312" w:hAnsi="微软雅黑" w:eastAsia="仿宋_GB2312" w:cs="仿宋_GB2312"/>
                <w:i w:val="0"/>
                <w:iCs w:val="0"/>
                <w:caps w:val="0"/>
                <w:color w:val="000000"/>
                <w:spacing w:val="0"/>
                <w:sz w:val="24"/>
                <w:szCs w:val="24"/>
                <w:lang w:val="en-US"/>
              </w:rPr>
              <w:t>第三十五条</w:t>
            </w:r>
            <w:r>
              <w:rPr>
                <w:rFonts w:hint="eastAsia" w:ascii="仿宋_GB2312" w:hAnsi="微软雅黑" w:eastAsia="仿宋_GB2312" w:cs="仿宋_GB2312"/>
                <w:i w:val="0"/>
                <w:iCs w:val="0"/>
                <w:caps w:val="0"/>
                <w:color w:val="000000"/>
                <w:spacing w:val="0"/>
                <w:sz w:val="24"/>
                <w:szCs w:val="24"/>
                <w:lang w:val="en-US" w:eastAsia="zh-CN"/>
              </w:rPr>
              <w:t>：</w:t>
            </w:r>
            <w:r>
              <w:rPr>
                <w:rFonts w:hint="eastAsia" w:ascii="仿宋_GB2312" w:hAnsi="微软雅黑" w:eastAsia="仿宋_GB2312" w:cs="仿宋_GB2312"/>
                <w:i w:val="0"/>
                <w:iCs w:val="0"/>
                <w:caps w:val="0"/>
                <w:color w:val="000000"/>
                <w:spacing w:val="0"/>
                <w:sz w:val="24"/>
                <w:szCs w:val="24"/>
                <w:lang w:val="en-US"/>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法行为，限期恢复原状或者采取其他补救措施；对自然保护区造成破坏的，可以处以300元以上1万元以下的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val="en-US" w:eastAsia="zh-CN"/>
              </w:rPr>
            </w:pPr>
            <w:r>
              <w:rPr>
                <w:rFonts w:hint="eastAsia" w:ascii="仿宋_GB2312" w:hAnsi="微软雅黑" w:eastAsia="仿宋_GB2312" w:cs="仿宋_GB2312"/>
                <w:i w:val="0"/>
                <w:iCs w:val="0"/>
                <w:caps w:val="0"/>
                <w:color w:val="000000"/>
                <w:spacing w:val="0"/>
                <w:sz w:val="24"/>
                <w:szCs w:val="24"/>
                <w:lang w:val="en-US" w:eastAsia="zh-CN"/>
              </w:rPr>
              <w:t>《中华人民共和国行政处罚法》（2021年7月15日施行）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微软雅黑" w:eastAsia="仿宋_GB2312" w:cs="仿宋_GB2312"/>
                <w:i w:val="0"/>
                <w:iCs w:val="0"/>
                <w:caps w:val="0"/>
                <w:color w:val="000000"/>
                <w:spacing w:val="0"/>
                <w:sz w:val="24"/>
                <w:szCs w:val="24"/>
                <w:lang w:val="en-US"/>
              </w:rPr>
            </w:pPr>
            <w:r>
              <w:rPr>
                <w:rFonts w:hint="eastAsia" w:ascii="仿宋_GB2312" w:hAnsi="微软雅黑" w:eastAsia="仿宋_GB2312" w:cs="仿宋_GB2312"/>
                <w:i w:val="0"/>
                <w:iCs w:val="0"/>
                <w:caps w:val="0"/>
                <w:color w:val="000000"/>
                <w:spacing w:val="0"/>
                <w:sz w:val="24"/>
                <w:szCs w:val="24"/>
                <w:lang w:val="en-US" w:eastAsia="zh-CN"/>
              </w:rPr>
              <w:t>第三十三条第一款：违法行为轻微并及时改正，没有造成危害后果的，不予行政处罚。初次违法且危害后果轻微并及时改正的，可以不予行政处罚。</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BE1FC2"/>
    <w:rsid w:val="3FD77694"/>
    <w:rsid w:val="7DFA7CA5"/>
    <w:rsid w:val="D3EA3CCD"/>
    <w:rsid w:val="FFBE1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2023-09-27T00:45:00Z</dcterms:created>
  <dc:creator>user</dc:creator>
  <cp:lastModifiedBy>user</cp:lastModifiedBy>
  <dcterms:modified xsi:type="dcterms:W3CDTF">2023-10-08T08:44:52Z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